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6B" w:rsidRPr="00BC666B" w:rsidRDefault="00BC666B" w:rsidP="00BC666B">
      <w:pPr>
        <w:spacing w:after="200"/>
        <w:jc w:val="center"/>
        <w:outlineLvl w:val="0"/>
        <w:rPr>
          <w:rFonts w:ascii="Times New Roman" w:eastAsia="Calibri" w:hAnsi="Times New Roman" w:cs="Times New Roman"/>
          <w:b/>
        </w:rPr>
      </w:pPr>
      <w:r w:rsidRPr="00BC666B">
        <w:rPr>
          <w:rFonts w:ascii="Times New Roman" w:eastAsia="Calibri" w:hAnsi="Times New Roman" w:cs="Times New Roman"/>
          <w:b/>
        </w:rPr>
        <w:t>ФЕДЕРАЛЬНОЕ АГЕНТСТВО СВЯЗИ</w:t>
      </w:r>
    </w:p>
    <w:p w:rsidR="00BC666B" w:rsidRPr="00BC666B" w:rsidRDefault="00BC666B" w:rsidP="00BC666B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</w:rPr>
      </w:pPr>
      <w:r w:rsidRPr="00BC666B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  <w:r w:rsidRPr="00BC666B">
        <w:rPr>
          <w:rFonts w:ascii="Times New Roman" w:eastAsia="Calibri" w:hAnsi="Times New Roman" w:cs="Times New Roman"/>
          <w:b/>
        </w:rPr>
        <w:br/>
        <w:t xml:space="preserve">«САНКТ-ПЕТЕРБУРГСКИЙ ГОСУДАРСТВЕННЫЙ УНИВЕРСИТЕТ ТЕЛЕКОММУНИКАЦИЙ </w:t>
      </w:r>
      <w:r w:rsidRPr="00BC666B">
        <w:rPr>
          <w:rFonts w:ascii="Times New Roman" w:eastAsia="Calibri" w:hAnsi="Times New Roman" w:cs="Times New Roman"/>
          <w:b/>
        </w:rPr>
        <w:br/>
        <w:t>ИМ. ПРОФ. М. А. БОНЧ-БРУЕВИЧА»</w:t>
      </w:r>
    </w:p>
    <w:p w:rsidR="00BC666B" w:rsidRPr="00BC666B" w:rsidRDefault="00BC666B" w:rsidP="00BC666B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</w:rPr>
      </w:pPr>
      <w:r w:rsidRPr="00BC666B">
        <w:rPr>
          <w:rFonts w:ascii="Times New Roman" w:eastAsia="Calibri" w:hAnsi="Times New Roman" w:cs="Times New Roman"/>
          <w:b/>
        </w:rPr>
        <w:t>(</w:t>
      </w:r>
      <w:proofErr w:type="spellStart"/>
      <w:r w:rsidRPr="00BC666B">
        <w:rPr>
          <w:rFonts w:ascii="Times New Roman" w:eastAsia="Calibri" w:hAnsi="Times New Roman" w:cs="Times New Roman"/>
          <w:b/>
        </w:rPr>
        <w:t>СПбГУТ</w:t>
      </w:r>
      <w:proofErr w:type="spellEnd"/>
      <w:r w:rsidRPr="00BC666B">
        <w:rPr>
          <w:rFonts w:ascii="Times New Roman" w:eastAsia="Calibri" w:hAnsi="Times New Roman" w:cs="Times New Roman"/>
          <w:b/>
        </w:rPr>
        <w:t>)</w:t>
      </w:r>
    </w:p>
    <w:p w:rsidR="00BC666B" w:rsidRPr="00BC666B" w:rsidRDefault="00BC666B" w:rsidP="00BC666B">
      <w:pPr>
        <w:pBdr>
          <w:bottom w:val="single" w:sz="12" w:space="1" w:color="auto"/>
        </w:pBdr>
        <w:spacing w:after="200"/>
        <w:jc w:val="center"/>
        <w:outlineLvl w:val="0"/>
        <w:rPr>
          <w:rFonts w:ascii="Times New Roman" w:eastAsia="Calibri" w:hAnsi="Times New Roman" w:cs="Times New Roman"/>
          <w:b/>
        </w:rPr>
      </w:pPr>
      <w:r w:rsidRPr="00BC666B">
        <w:rPr>
          <w:rFonts w:ascii="Times New Roman" w:eastAsia="Calibri" w:hAnsi="Times New Roman" w:cs="Times New Roman"/>
          <w:b/>
        </w:rPr>
        <w:t>Санкт-Петербургский колледж телекоммуникаций</w:t>
      </w:r>
      <w:r>
        <w:rPr>
          <w:rFonts w:ascii="Times New Roman" w:eastAsia="Calibri" w:hAnsi="Times New Roman" w:cs="Times New Roman"/>
          <w:b/>
        </w:rPr>
        <w:t xml:space="preserve"> им. Э.Т. Кренкеля</w:t>
      </w:r>
      <w:bookmarkStart w:id="0" w:name="_GoBack"/>
      <w:bookmarkEnd w:id="0"/>
    </w:p>
    <w:p w:rsidR="009375AB" w:rsidRDefault="009375AB">
      <w:pPr>
        <w:pStyle w:val="Standar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75AB" w:rsidRDefault="009375AB">
      <w:pPr>
        <w:pStyle w:val="Standard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ind w:left="6946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eastAsia="ar-SA"/>
        </w:rPr>
        <w:t>УТВЕРЖДАЮ</w:t>
      </w:r>
    </w:p>
    <w:p w:rsidR="009375AB" w:rsidRDefault="00325646">
      <w:pPr>
        <w:pStyle w:val="Standard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Заместитель директора по УР</w:t>
      </w:r>
    </w:p>
    <w:p w:rsidR="009375AB" w:rsidRDefault="00325646">
      <w:pPr>
        <w:pStyle w:val="Standard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О.В.Колбанева</w:t>
      </w:r>
      <w:proofErr w:type="spellEnd"/>
    </w:p>
    <w:p w:rsidR="009375AB" w:rsidRDefault="00325646">
      <w:pPr>
        <w:pStyle w:val="Standard"/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«____» _________ 2020 г</w:t>
      </w:r>
    </w:p>
    <w:p w:rsidR="009375AB" w:rsidRDefault="009375AB">
      <w:pPr>
        <w:pStyle w:val="Standar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75AB" w:rsidRDefault="009375AB">
      <w:pPr>
        <w:pStyle w:val="Standar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75AB" w:rsidRDefault="009375AB">
      <w:pPr>
        <w:pStyle w:val="Standar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75AB" w:rsidRDefault="009375AB">
      <w:pPr>
        <w:pStyle w:val="Standar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375AB" w:rsidRDefault="00325646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</w:t>
      </w:r>
    </w:p>
    <w:p w:rsidR="009375AB" w:rsidRDefault="009375AB">
      <w:pPr>
        <w:pStyle w:val="Standard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5AB" w:rsidRDefault="00325646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ТЕХНИКО-ЭКОНОМИЧЕСКОЕ ОБОСНОВАНИЕ ПРОЕКТА»</w:t>
      </w:r>
    </w:p>
    <w:p w:rsidR="009375AB" w:rsidRDefault="009375AB">
      <w:pPr>
        <w:pStyle w:val="Standard"/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u w:val="single"/>
        </w:rPr>
      </w:pPr>
    </w:p>
    <w:p w:rsidR="009375AB" w:rsidRDefault="00325646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специальностей:</w:t>
      </w:r>
    </w:p>
    <w:p w:rsidR="009375AB" w:rsidRDefault="00325646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11.02.08 Средства связи с подвижными объектами</w:t>
      </w:r>
    </w:p>
    <w:p w:rsidR="009375AB" w:rsidRDefault="00325646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11.02.09 Многоканальные телекоммуникационные системы</w:t>
      </w:r>
    </w:p>
    <w:p w:rsidR="009375AB" w:rsidRDefault="0032564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11.02.10 Радиосвязь, радиовещание и телевидение</w:t>
      </w:r>
    </w:p>
    <w:p w:rsidR="009375AB" w:rsidRDefault="00325646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11.02.11 Сети связи и системы коммутации</w:t>
      </w:r>
    </w:p>
    <w:p w:rsidR="009375AB" w:rsidRDefault="009375AB">
      <w:pPr>
        <w:pStyle w:val="Textbody"/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75AB" w:rsidRDefault="00325646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среднего профессионального образования</w:t>
      </w:r>
    </w:p>
    <w:p w:rsidR="009375AB" w:rsidRDefault="009375AB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75AB" w:rsidRDefault="009375AB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75AB" w:rsidRDefault="009375AB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75AB" w:rsidRDefault="009375AB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Составитель: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Корина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М.Н, Афанасьева Н.И.</w:t>
      </w: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9375AB">
      <w:pPr>
        <w:pStyle w:val="Standard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Санкт-Петербург</w:t>
      </w:r>
    </w:p>
    <w:p w:rsidR="009375AB" w:rsidRDefault="00325646">
      <w:pPr>
        <w:pStyle w:val="Standard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2020</w:t>
      </w:r>
    </w:p>
    <w:p w:rsidR="009375AB" w:rsidRDefault="00325646" w:rsidP="00325646">
      <w:pPr>
        <w:pStyle w:val="Standard"/>
        <w:pageBreakBefore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методических указаниях рассматривается сущность, содержание и понятие инвестиционной деятельности. Особое место отводится расчету затрат на разработку структурной схемы трудоемкости продукта в телекоммуникационных системах включая систему радиосвязи и вещания. Приведены элементы затрат на формирование фонда оплаты труда, отчисления на различные виды страхования: пенсионный фонд, фонд социального страхования и пр., приобретение материалов. Представлено формирование полной себестоимости инновационного продукта и методы оценки эффективности инвестиций. Цель методических указаний — оказать студенту помощь в расчете технико-экономических показателей деятельности организации, в методике расчета экономической эффективности и окупаемости инвестиционных проектов.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задания студент должен знать:</w:t>
      </w:r>
    </w:p>
    <w:p w:rsidR="009375AB" w:rsidRDefault="00325646">
      <w:pPr>
        <w:pStyle w:val="Standard"/>
        <w:numPr>
          <w:ilvl w:val="0"/>
          <w:numId w:val="5"/>
        </w:numPr>
        <w:tabs>
          <w:tab w:val="left" w:pos="-2891"/>
          <w:tab w:val="left" w:pos="-1768"/>
          <w:tab w:val="left" w:pos="-85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построения экономической системы организации</w:t>
      </w:r>
    </w:p>
    <w:p w:rsidR="009375AB" w:rsidRDefault="00325646">
      <w:pPr>
        <w:pStyle w:val="Standard"/>
        <w:numPr>
          <w:ilvl w:val="0"/>
          <w:numId w:val="2"/>
        </w:numPr>
        <w:tabs>
          <w:tab w:val="left" w:pos="-2891"/>
          <w:tab w:val="left" w:pos="-1768"/>
          <w:tab w:val="left" w:pos="-85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9375AB" w:rsidRDefault="00325646">
      <w:pPr>
        <w:pStyle w:val="Standard"/>
        <w:numPr>
          <w:ilvl w:val="0"/>
          <w:numId w:val="2"/>
        </w:numPr>
        <w:tabs>
          <w:tab w:val="left" w:pos="-2891"/>
          <w:tab w:val="left" w:pos="-1768"/>
          <w:tab w:val="left" w:pos="-85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производственного и технологического процессов;</w:t>
      </w:r>
    </w:p>
    <w:p w:rsidR="009375AB" w:rsidRDefault="00325646">
      <w:pPr>
        <w:pStyle w:val="Standard"/>
        <w:numPr>
          <w:ilvl w:val="0"/>
          <w:numId w:val="2"/>
        </w:numPr>
        <w:tabs>
          <w:tab w:val="left" w:pos="-2891"/>
          <w:tab w:val="left" w:pos="-1768"/>
          <w:tab w:val="left" w:pos="-85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9375AB" w:rsidRDefault="00325646">
      <w:pPr>
        <w:pStyle w:val="Standard"/>
        <w:numPr>
          <w:ilvl w:val="0"/>
          <w:numId w:val="2"/>
        </w:numPr>
        <w:tabs>
          <w:tab w:val="left" w:pos="-2891"/>
          <w:tab w:val="left" w:pos="-1768"/>
          <w:tab w:val="left" w:pos="-85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экономии ресурсов, энергосберегающие технологии;</w:t>
      </w:r>
    </w:p>
    <w:p w:rsidR="009375AB" w:rsidRDefault="00325646">
      <w:pPr>
        <w:pStyle w:val="Standard"/>
        <w:numPr>
          <w:ilvl w:val="0"/>
          <w:numId w:val="2"/>
        </w:numPr>
        <w:tabs>
          <w:tab w:val="left" w:pos="-2891"/>
          <w:tab w:val="left" w:pos="-1768"/>
          <w:tab w:val="left" w:pos="-852"/>
          <w:tab w:val="left" w:pos="64"/>
          <w:tab w:val="left" w:pos="980"/>
          <w:tab w:val="left" w:pos="1896"/>
          <w:tab w:val="left" w:pos="2812"/>
          <w:tab w:val="left" w:pos="3728"/>
          <w:tab w:val="left" w:pos="4644"/>
          <w:tab w:val="left" w:pos="5560"/>
          <w:tab w:val="left" w:pos="6476"/>
          <w:tab w:val="left" w:pos="7392"/>
          <w:tab w:val="left" w:pos="8308"/>
          <w:tab w:val="left" w:pos="9224"/>
          <w:tab w:val="left" w:pos="10140"/>
          <w:tab w:val="left" w:pos="110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ценообразования, формы оплаты труда;</w:t>
      </w:r>
    </w:p>
    <w:p w:rsidR="009375AB" w:rsidRDefault="00325646" w:rsidP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основные технико-экономические показатели деятельности организации и методику их расчета;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375AB" w:rsidRDefault="0032564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организационно-правовые формы организаций;</w:t>
      </w:r>
    </w:p>
    <w:p w:rsidR="009375AB" w:rsidRDefault="0032564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деятельность организации;</w:t>
      </w:r>
    </w:p>
    <w:p w:rsidR="009375AB" w:rsidRDefault="0032564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9375AB" w:rsidRDefault="0032564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9375AB" w:rsidRDefault="0032564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9375AB" w:rsidRDefault="0032564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использовать необходимую экономическую информацию;</w:t>
      </w:r>
    </w:p>
    <w:p w:rsidR="00325646" w:rsidRDefault="00325646">
      <w:pPr>
        <w:suppressAutoHyphens w:val="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br w:type="page"/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Раздел 1. Экономическое обоснование (единов</w:t>
      </w:r>
      <w:r w:rsidR="00F153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ременных) затрат на разработку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различных технологических систем в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т.ч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радиосвязи и вещания, многоканальных телекоммуникационных систем, сети связи и систем </w:t>
      </w:r>
      <w:proofErr w:type="gram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коммутации  и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пр.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целесообразность разработки и внедрения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структурной схемы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телекоммунакационных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систем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т.ч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радиосвязи и вещания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экономическим эффектом, который будет получен производителями при их реализации и потребителями при их использовании. По величине ожидаемого экономического эффекта принимается решение о целесообразности инвестиций в разработку того или иного продукта.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объекта вложений инвестиции в разработку относят к интеллектуальным инвестициям.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продукта важно оценить его себестоимость (затраты на разработку).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стоимости разработки продукта – себестоимости проекта.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Расчет трудоемкости разработки выбранного проекта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разработку продукта определяются эмпирическим путем.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могут включать: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труда на подготовку и описание задачи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труда на исследование описания структурных схем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tис</w:t>
      </w:r>
      <w:proofErr w:type="spellEnd"/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труда на разработку алгоритма (блок-схем)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tал</w:t>
      </w:r>
      <w:proofErr w:type="spellEnd"/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труда на расчет структурной схемы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tсх</w:t>
      </w:r>
      <w:proofErr w:type="spellEnd"/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затраты труда на описание развернутых структурных схем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tоп</w:t>
      </w:r>
      <w:proofErr w:type="spellEnd"/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затраты труда на подготовку документов по задаче состоят из затрат труда на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рукописей и времени на оформление документов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затраты труда рассчитываются как сумма составных затрат труда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∑ t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tсх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суммарных затрат времени представлен в таблице 1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Ориентировочное распределение затрат времени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8"/>
        <w:gridCol w:w="1887"/>
        <w:gridCol w:w="45"/>
      </w:tblGrid>
      <w:tr w:rsidR="009375AB" w:rsidTr="00325646">
        <w:trPr>
          <w:trHeight w:val="362"/>
        </w:trPr>
        <w:tc>
          <w:tcPr>
            <w:tcW w:w="396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часах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</w:pPr>
          </w:p>
        </w:tc>
      </w:tr>
      <w:tr w:rsidR="009375AB" w:rsidTr="00325646">
        <w:trPr>
          <w:trHeight w:val="724"/>
        </w:trPr>
        <w:tc>
          <w:tcPr>
            <w:tcW w:w="396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/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62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описание задачи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схемы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tоп</w:t>
            </w:r>
            <w:proofErr w:type="spellEnd"/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439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описания структурных схем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tис</w:t>
            </w:r>
            <w:proofErr w:type="spellEnd"/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62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алгоритма (блок-схем)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tал</w:t>
            </w:r>
            <w:proofErr w:type="spellEnd"/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40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структурной схемы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tсх</w:t>
            </w:r>
            <w:proofErr w:type="spellEnd"/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62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развернутых структурных схем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tоп</w:t>
            </w:r>
            <w:proofErr w:type="spellEnd"/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40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оформление документов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tд</w:t>
            </w:r>
            <w:proofErr w:type="spellEnd"/>
          </w:p>
          <w:p w:rsidR="009375AB" w:rsidRDefault="009375A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62"/>
        </w:trPr>
        <w:tc>
          <w:tcPr>
            <w:tcW w:w="39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∑ t</w:t>
            </w:r>
          </w:p>
        </w:tc>
        <w:tc>
          <w:tcPr>
            <w:tcW w:w="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75AB" w:rsidRDefault="009375AB">
      <w:pPr>
        <w:pStyle w:val="Standard"/>
        <w:shd w:val="clear" w:color="auto" w:fill="FFFFFF"/>
        <w:spacing w:after="0" w:line="240" w:lineRule="auto"/>
      </w:pPr>
    </w:p>
    <w:p w:rsidR="009375AB" w:rsidRDefault="009375AB">
      <w:pPr>
        <w:pStyle w:val="Standard"/>
        <w:shd w:val="clear" w:color="auto" w:fill="FFFFFF"/>
        <w:spacing w:after="0" w:line="240" w:lineRule="auto"/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Расчет затрат на разработку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структурной схемы телекоммуникационных систем, в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т.ч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радиосвязи и вещания и </w:t>
      </w:r>
      <w:proofErr w:type="gram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других  систем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на оплату труда (ЗОТ) разработчика включают затраты на оплату труда и отчисления от фонда заработной паты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оплату труда разработчика складывается из двух составляющих: основной заработной платы и дополнительной заработной платы.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заработная плата рассчитывается в руб. по формуле (2):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∑ t × (ТС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МЕС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КЧР) ×ТК, (2)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∑ t – суммарные затраты труда, вычисляемые по формуле (1), час.;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месячная тарифная ставка, руб.;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КЧР – среднемесячная расчетная норма рабочего времени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(среднее количество часов работы в месяц), час.;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 – тарифный коэффициент, соответствующий разряду работ разработчика.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Месячная тарифная ставка для техников работников бюджетной сферы (условно) установлена в размере 8 643 руб.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Коммерческими организациями размер тарифной ставки устанавливается самостоятельно, но не ниже чем размер тарифной ставки для работников бюджетной.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Студент может использовать в своей работе данные по размеру тарифной ставки, полученные во время прохождения преддипломной практики на предприятии.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Согласно данным Министерства труда и социально защиты Российской Федерации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среднемесячная расчетная норма для пятидневной рабочей недели равна 164 часа.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Тарифный коэффициент - это коэффициент, показывающий во сколько раз тарифная ставка конкретного работника (с учетом его профессии и квалификации) больше тарифной ставки 1-го разряда.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дипломного проекта тарифная ставка разработчика принимается на уровне 11 разряда, то есть составляет 2,68.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текущих тарифных ставок оплаты труда пусконаладочного персонала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Категории работников- исполнителей</w:t>
            </w:r>
          </w:p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пусконаладочных работ</w:t>
            </w:r>
          </w:p>
          <w:p w:rsidR="009375AB" w:rsidRDefault="009375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Тарифная ставка</w:t>
            </w:r>
          </w:p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руб./чел.-ч</w:t>
            </w:r>
          </w:p>
          <w:p w:rsidR="009375AB" w:rsidRDefault="009375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Главный специалист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427,43</w:t>
            </w: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Ведущий инженер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394,75</w:t>
            </w: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Инженер 1 категории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361,22</w:t>
            </w: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Инженер 2 категории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328,54</w:t>
            </w: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Инженер 3 категории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295,85</w:t>
            </w: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Техник 1 категории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238,02</w:t>
            </w:r>
          </w:p>
        </w:tc>
      </w:tr>
      <w:tr w:rsidR="009375AB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hAnsi="yandex-sans" w:hint="eastAsia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Техник 2 категории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213,72</w:t>
            </w:r>
          </w:p>
        </w:tc>
      </w:tr>
    </w:tbl>
    <w:p w:rsidR="009375AB" w:rsidRDefault="009375AB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заработная плата составляет 20% от основной заработной платы, рассчитывается по формуле (3):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(20 /100) 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(3)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на оплату труда разработчика в рублях (ФОТ - фонд оплаты труда) представляет собой сумму основной и дополнительной заработной платы и рассчитывается по формуле (4):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(4)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от фонда оплаты труда включают страховые взносы на: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взносы с зарплаты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9375AB" w:rsidTr="00325646">
        <w:trPr>
          <w:trHeight w:val="261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</w:tr>
      <w:tr w:rsidR="009375AB" w:rsidTr="00325646">
        <w:trPr>
          <w:trHeight w:val="246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Пенсионное страхование    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22%</w:t>
            </w:r>
          </w:p>
        </w:tc>
      </w:tr>
      <w:tr w:rsidR="009375AB" w:rsidTr="00325646">
        <w:trPr>
          <w:trHeight w:val="261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Социальное страхование    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2,9%</w:t>
            </w:r>
          </w:p>
        </w:tc>
      </w:tr>
      <w:tr w:rsidR="009375AB" w:rsidTr="00325646">
        <w:trPr>
          <w:trHeight w:val="246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Медицинское страхование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5,1%</w:t>
            </w:r>
          </w:p>
        </w:tc>
      </w:tr>
      <w:tr w:rsidR="009375AB" w:rsidTr="00325646">
        <w:trPr>
          <w:trHeight w:val="261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30 %</w:t>
            </w:r>
          </w:p>
        </w:tc>
      </w:tr>
    </w:tbl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Отчисления от фонда оплаты труда рассчитываются по формуле (5):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ФОТ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ФОТ х (30 / 100), (5)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Затраты на оплату труда разработчика рассчитываются по формуле (6):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ФОТ + О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ФОТ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(6)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2.2 Эксплуатационные затраты на оборудование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оборудования хоть и не включается в себестоимость разработки, но все же используется при расчете отдельных статей расходов.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написании дипломного проекта в качестве оборудования предполагается персональный компьютер, стоимость которого составляет: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Суммарная годовая стоимость эксплуатационных затрат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Cэз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по формуле (7):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Cэз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затраты на техническое обслуживание и ремонт оборудования, руб.,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затраты на материалы и комплектующие, руб.,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ЭЭ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годовая стоимость электроэнергии, руб.,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годовые амортизационные отчисления, руб.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техническое обслуживание и ремонт 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составляют 3 % от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оборудования: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0,03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Собор, (8)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материалы и комплектующие принимаются в размере 2% от стоимости оборудования: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МК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0,02 </w:t>
      </w:r>
      <w:r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Собор,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(9)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Амортизационные отчисления, процесс постепенного перенесения стоимости средств труда по мере их физического и морального износа на стоимость производимых с их помощью продукции в целях аккумуляции денежных средств для последующего полного восстановления.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 w:rsidP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Амортизационные отчисления производятся по установленным нормам амортизации, выражаются, в процентах к стоимости оборудования и рассчитываются по формуле (10):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год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х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100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 (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hAnsi="yandex-sans" w:hint="eastAsia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где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Cобор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– стоимость компьютера;</w:t>
      </w: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норма амортизации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норма амортизации, которая рассчитывается по формуле (11):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 xml:space="preserve">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= 100 / 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Тнорм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,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(11)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Тнорм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– нормативный срок службы (для персонального компьютера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Тнорм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= 5 лет)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hAnsi="yandex-sans" w:hint="eastAsia"/>
          <w:color w:val="000000"/>
          <w:sz w:val="23"/>
          <w:szCs w:val="23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Стоимость электроэнергии вычисляется по формуле (12):</w:t>
      </w: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 xml:space="preserve">ЭЭ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= M ×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k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з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×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эф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× 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квт.ч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×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 (12)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 M – мощность компьютера, КВт;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kз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коэффициент загрузки, учитывающий использование оборудования по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времени (0,8);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Fэф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эффективный фонд рабочего времени;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Cквт.ч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стоимость 1 квт-час электроэнергии (4,61руб./квт) по состоянию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июль 2019 года);</w:t>
      </w: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vertAlign w:val="subscript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коэффициент, учитывающий потери в сети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Kc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=1,05).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Fэф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эффективный фонд рабочего времени, рассчитывается по формуле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(13):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эф </w:t>
      </w:r>
      <w:r>
        <w:rPr>
          <w:rFonts w:ascii="Times New Roman" w:hAnsi="Times New Roman" w:cs="Times New Roman"/>
          <w:sz w:val="24"/>
          <w:szCs w:val="24"/>
        </w:rPr>
        <w:t xml:space="preserve">= Дном х d х (1 – (f / 100)),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(13)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Дном = 247 – номинальное число рабочих дней в году при пятидневной рабочей неделе;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8 – продолжительность рабочего дня, час;</w:t>
      </w:r>
    </w:p>
    <w:p w:rsidR="009375AB" w:rsidRDefault="00325646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2% – планируемый процент времени на ремонт оборудования.</w:t>
      </w:r>
    </w:p>
    <w:p w:rsidR="009375AB" w:rsidRDefault="009375A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Полученная стоимость эксплуатационных затрат – это значения годовых расходов. Необходимо их скорректировать в соответствии с временным коэффициентом (так как оборудование будет эксплуатироваться не весь год, а только в течение времени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Σt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</w:rPr>
        <w:t>) который определяется исходя из суммарных годовых эксплуатационных затрат, которые рассчитываются по формуле (14):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Эз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∑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эф), (14), где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стоимость эксплуатационных затрат;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Cэз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суммарная годовая стоимость эксплуатационных затрат, вычисленный по формуле (7);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эффективный фонд рабочего времени, вычисленный по формуле (13);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Σtмаш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общее время использования оборудования для решения задачи (см. таблицу 1).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написании дипломного проекта используется принтер, аналогичные рассчитываются эксплуатационные расходы для принтера с учетом того, что срок полезного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принтера – 4 года, затраты на техническое обслуживание и ремонт принтера – 4 % в год, затраты на комплектующие – 10% (от стоимости принтера).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Затраты на материалы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материалы включают расходы на материалы, необходимые для разработки продукта, предусмотренного проектированием дипломного проекта.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Расчет затрат на материалы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>) осуществляется прямым счетом (по факту).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затрат на материалы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783"/>
        <w:gridCol w:w="1488"/>
        <w:gridCol w:w="1490"/>
      </w:tblGrid>
      <w:tr w:rsidR="009375AB" w:rsidTr="00325646">
        <w:trPr>
          <w:trHeight w:val="300"/>
        </w:trPr>
        <w:tc>
          <w:tcPr>
            <w:tcW w:w="245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601"/>
        </w:trPr>
        <w:tc>
          <w:tcPr>
            <w:tcW w:w="245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/>
        </w:tc>
        <w:tc>
          <w:tcPr>
            <w:tcW w:w="95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79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75AB" w:rsidTr="00325646">
        <w:trPr>
          <w:trHeight w:val="300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                       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64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Транзистор                               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00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                                   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282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                                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00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                            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282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Микросхема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00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Демулятор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сигналов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00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Тюнер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AB" w:rsidTr="00325646">
        <w:trPr>
          <w:trHeight w:val="300"/>
        </w:trPr>
        <w:tc>
          <w:tcPr>
            <w:tcW w:w="24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2.4 Накладные расходы</w:t>
      </w:r>
      <w:r>
        <w:rPr>
          <w:rFonts w:ascii="Times New Roman" w:hAnsi="Times New Roman" w:cs="Times New Roman"/>
          <w:sz w:val="24"/>
          <w:szCs w:val="24"/>
        </w:rPr>
        <w:t>, связанные с управлением, организационными расходами и прочими дополнительными затратами, составляют 70% от фонда оплаты труда, вычисляются по формуле (15):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накл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0,7×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ФОТ</w:t>
      </w:r>
      <w:r>
        <w:rPr>
          <w:rFonts w:ascii="Times New Roman" w:hAnsi="Times New Roman" w:cs="Times New Roman"/>
          <w:sz w:val="24"/>
          <w:szCs w:val="24"/>
        </w:rPr>
        <w:t>, (15)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 Затраты на сопровождение и адаптацию проекта </w:t>
      </w:r>
      <w:r>
        <w:rPr>
          <w:rFonts w:ascii="Times New Roman" w:hAnsi="Times New Roman" w:cs="Times New Roman"/>
          <w:sz w:val="24"/>
          <w:szCs w:val="24"/>
        </w:rPr>
        <w:t>в рублях, которые определяются по нормативу (10% от полной себестоимости проекта).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Суммарные затраты на разработку продукта считаются как сумма фонда оплаты труда и отчислений от него, эксплуатационных затрат, затрат на материалы, накладных расходов, затрат на сопровождение и эксплуатацию оборудования.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разработки проекта представлена в таблице 5.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Стоимость проекта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853"/>
        <w:gridCol w:w="2300"/>
        <w:gridCol w:w="1632"/>
      </w:tblGrid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затраты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</w:t>
            </w:r>
            <w:proofErr w:type="spellEnd"/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от фонда оплаты труда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ФОТ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накл</w:t>
            </w:r>
            <w:proofErr w:type="spellEnd"/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781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проекта без учета расходов на сопровождение и адаптацию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п.1+п.2+п.3+п.4+п.5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сопровождение и адаптацию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от п. 6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5AB" w:rsidTr="00325646">
        <w:trPr>
          <w:trHeight w:val="255"/>
        </w:trPr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(плановая) себестоимость продукта (капитальные вложения)</w:t>
            </w:r>
          </w:p>
        </w:tc>
        <w:tc>
          <w:tcPr>
            <w:tcW w:w="12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325646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.= п.6 + п.7</w:t>
            </w:r>
          </w:p>
        </w:tc>
        <w:tc>
          <w:tcPr>
            <w:tcW w:w="8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5AB" w:rsidRDefault="009375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Расчет экономического эффекта разработчика и пользователя (заказчика) проектируемого продукта.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Экономический эффект у разработчика продукта.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разработчику всю сумму расходов по проекту полная себестоимость продукта из таблицы 5 с учетом прибыли разработчика и налога на добавленную стоимость с учетом качества, потребительских свойств продукта и конъюнктуры рынка.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в дипломном проекте отпускная цена проектируемого продукта, представляет собой не цену за единицу продукции, а цену проекта вместе с его исходными кодами и документацией, за которую его можно продать и получить определенную выгоду. Прогнозируемая отпускная цена (Ц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>
        <w:rPr>
          <w:rFonts w:ascii="Times New Roman" w:hAnsi="Times New Roman" w:cs="Times New Roman"/>
          <w:sz w:val="24"/>
          <w:szCs w:val="24"/>
        </w:rPr>
        <w:t>) с учетом НДС рассчитывается по формуле (16):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= ((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.+</w:t>
      </w:r>
      <w:proofErr w:type="gramEnd"/>
      <w:r>
        <w:rPr>
          <w:rFonts w:ascii="Times New Roman" w:hAnsi="Times New Roman" w:cs="Times New Roman"/>
          <w:sz w:val="24"/>
          <w:szCs w:val="24"/>
        </w:rPr>
        <w:t>П )  Х  ( 100+СТндс)) / 100 , (16), где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-  прогнозируемая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отпускная цена продукта;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полная (плановая) себестоимость продукта, руб., (из таблицы 5);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прибыль разработчика продукта, руб.;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– ставка налога на добавленную стоимость (=20%), в %.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 закладывается в цену исходя из уровня рентабельности (устанавливается студентом самостоятельно), расчет производится по формуле (17):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</w:rPr>
              <m:t xml:space="preserve"> х Спол  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(17),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– прибыль,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– уровень рентабельности, % (в рамках дипломного проекта рекомендуемый уровень рентабельности ≈ 20%).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полная (плановая) себестоимость продукта, руб., (из таблицы 5).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того, что продукт разрабатывается для одного объекта, в качестве экономического эффекта разработчика от реализованного продукта можно рассматривать чистую прибыль (ЧП), которая рассчитывается по формуле (18):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ЧП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П х (100-СТп)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(18)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ЧП - чистая прибыль, руб.;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– прибыль,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– ставка налогообложения прибыли составляет 20%.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окупаемости капитальных вложений определяется по формуле: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Ток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КВ</m:t>
            </m:r>
          </m:num>
          <m:den>
            <m:r>
              <w:rPr>
                <w:rFonts w:ascii="Cambria Math" w:hAnsi="Cambria Math"/>
              </w:rPr>
              <m:t>П</m:t>
            </m:r>
          </m:den>
        </m:f>
      </m:oMath>
      <w:r>
        <w:rPr>
          <w:rFonts w:ascii="Times New Roman" w:hAnsi="Times New Roman"/>
          <w:sz w:val="24"/>
          <w:szCs w:val="24"/>
        </w:rPr>
        <w:t>,  (19)  где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 – срок окупаемости капитальных вложений, лет;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 – капитальные вложения (Полная (плановая) себестоимость продукта),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– прибыль,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разработчик может продать заказчику проектируемый продукт по рассчитанной цене (формула 16), что покроет затраты на разработку (таблица 5) и обеспечит получение чистой прибыли при его реализации заказчику (формула 18).</w:t>
      </w:r>
    </w:p>
    <w:p w:rsidR="009375AB" w:rsidRDefault="009375A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Если на рынке существуют аналоги разрабатываемого продукта, то определение отпускной цены на продукт может осуществляться иным способом: с ориентацией на цены конкурентов, технический уровень проекта.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расчеты начинаются с определение цены продукта с ориентацией на цены конкурентов. Следует устанавливать на продукт такую цену, которая будет удовлетворять покупателя и заказчика.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установить оптимальную цену, необходимо изучить рынок, сравнить созданный проект с продуктами конкурентов и определить диапазон цен.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позиционировать надо продукт по цене и по отношению к ценам конкурентов. Если проект выдвигается на рынок и имеет уникальные функции, то цену на него можно устанавливать на уровне выше средней цены на рынке.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продвигаемый на рынок продукт проще, чем у конкурентов, цену на него можно установить на уровне нижнего предела цены или чуть выше.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После того установленная цена (Ц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>
        <w:rPr>
          <w:rFonts w:ascii="Times New Roman" w:hAnsi="Times New Roman" w:cs="Times New Roman"/>
          <w:sz w:val="24"/>
          <w:szCs w:val="24"/>
        </w:rPr>
        <w:t>), рассчитывается как прибыль (П) разработчика от реализации продукта следующим образом: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определяется сумма налога на добавленную стоимость в цене продукта (формула 19):</w:t>
      </w:r>
    </w:p>
    <w:p w:rsidR="009375AB" w:rsidRDefault="00325646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НДС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Цпо х СТндс</m:t>
            </m:r>
          </m:num>
          <m:den>
            <m:r>
              <w:rPr>
                <w:rFonts w:ascii="Cambria Math" w:hAnsi="Cambria Math"/>
              </w:rPr>
              <m:t xml:space="preserve">100+СТндс  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(19),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375AB" w:rsidRDefault="0032564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Рассчитывается цена продукта без НДС (формула 20):</w:t>
      </w:r>
    </w:p>
    <w:p w:rsidR="009375AB" w:rsidRDefault="00325646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= 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− НДС, (20),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75AB" w:rsidRDefault="0032564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Рассчитывается прибыль разработчика продукта (формула 21):</w:t>
      </w:r>
    </w:p>
    <w:p w:rsidR="009375AB" w:rsidRDefault="00325646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П = Ц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>, (21), (руб.)</w:t>
      </w:r>
    </w:p>
    <w:p w:rsidR="009375AB" w:rsidRDefault="0032564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полная себестоимость разработки ПО из таблицы 4, руб.</w:t>
      </w:r>
    </w:p>
    <w:p w:rsidR="009375AB" w:rsidRDefault="0032564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Чистая прибыль рассчитывается по формуле 22 (аналог формулы 18):</w:t>
      </w:r>
    </w:p>
    <w:p w:rsidR="009375AB" w:rsidRDefault="00325646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ЧП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П х (100-СТп)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( 22)</w:t>
      </w:r>
    </w:p>
    <w:p w:rsidR="009375AB" w:rsidRDefault="00325646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Экономический эффект от использования продукта у заказчика.</w:t>
      </w:r>
    </w:p>
    <w:p w:rsidR="009375AB" w:rsidRDefault="0032564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Для определения экономического эффекта у заказчика можно проводить сравнительный технико-экономический анализ разработанного продукта с существующими изделиями-аналогами. Оценивается конкурентоспособность нового изделия на рынке. С этой целью проводится сравнение технических параметров, отпускной цены продукта и его эксплуатационных характеристик. Для более детального анализа затрат на производство проводится сравнение по статьям затрат (если студенты располагают такой информацией по изделию-аналогу). По полученным данным проводится расчет экономического эффекта от применения на предприятии нового продукта. При сравнении базового и нового варианта продукта в качестве экономического эффекта будет выступать общая сумма экономии всех видов ресурсов относительно базового варианта. Также экономический эффект у заказчика можно выразить в виде экономии трудовых, материальных и финансовых ресурсов, получаемой от: − повышения производительности сервиса (увеличение числа выводимых за единицу времени документов, уменьшение среднего времени подготовки отчета и т. д.), что выражается в снижении трудоемкости выполнения операций, решении задач, подготовки данных, обработки информации и анализа результатов; − сокращение затрат на оплату машинного времени и расходных материалов; − повышения уровня сервиса (сокращение времени на устранение инцидентов); − улучшения показателей основной деятельности предприятия в результате использования продукта (сокращение численности сотрудников, повышение производительности труда, экономия ресурсов и т. д.)</w:t>
      </w:r>
    </w:p>
    <w:p w:rsidR="009375AB" w:rsidRDefault="009375AB">
      <w:pPr>
        <w:pStyle w:val="Standard"/>
        <w:jc w:val="both"/>
        <w:rPr>
          <w:b/>
          <w:bCs/>
        </w:rPr>
      </w:pPr>
    </w:p>
    <w:p w:rsidR="009375AB" w:rsidRDefault="00325646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2. Сущность, содержание современных методов оценки эффективности инвестиций.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Инвестициями являются денежные средства, ценные бумаги, иное имущество,</w:t>
      </w:r>
      <w:r w:rsidR="00F1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имущественные права, имеющие денежную оценку, вкладываемые в объекты предпринимательской или иной деятельности в целях получения прибыли и достижения полезного эффекта.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Капитальные вложения — инвестиции в основной капитал (основные средства, нематериальные активы),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, затраты финансовых, трудовых и материальных ресурсов.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Инвестиционный проект — обоснование экономической целесообразности, объема и сроков осуществления капитальных вложений,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необходимая проектно-сметная документация.</w:t>
      </w:r>
    </w:p>
    <w:p w:rsidR="009375AB" w:rsidRDefault="00325646" w:rsidP="00325646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оценки эффективности инвестиций.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широкое распространение получил метод обобщающей оценки инвестиций: это метод, основанный на расчете сроков окупаемости инвестиций.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метод оценки эффективности инвестиций исходя из сроков их окупаемости.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окупаемости инвестиций-период времени, который требуется для возвращения вложенной денежной суммы или иначе говоря, это доходы, которые покрывают единовременные затраты на реализацию инвестиционных проектов. Этот период затем сравнивают с тем временем,</w:t>
      </w:r>
      <w:r w:rsidR="00F1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 руководство фирмы считает экономически оправданным. Критерий целесообразности реализации инвестиционного проекта определяется тем, что длительность срока окупаемости инвестиционного проекта оказывается меньше в сравнении с экономически оправданным сроком его окупаемости.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окупаемости инвестиционного проекта может быть определен по одной из следующих формул:</w:t>
      </w:r>
    </w:p>
    <w:p w:rsidR="009375AB" w:rsidRDefault="00325646" w:rsidP="00325646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Т= К:(РЧ+А) =,</w:t>
      </w:r>
      <w:r w:rsidR="00F1530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&lt; ТЭО</w:t>
      </w:r>
      <w:proofErr w:type="gramEnd"/>
      <w:r>
        <w:rPr>
          <w:rFonts w:ascii="Times New Roman" w:hAnsi="Times New Roman"/>
          <w:sz w:val="24"/>
          <w:szCs w:val="24"/>
        </w:rPr>
        <w:t xml:space="preserve"> или Т= К: ДЧ =,&lt; ТЭО, (23)</w:t>
      </w:r>
    </w:p>
    <w:p w:rsidR="009375AB" w:rsidRDefault="00F1530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где: </w:t>
      </w:r>
      <w:r w:rsidR="00325646">
        <w:rPr>
          <w:rFonts w:ascii="Times New Roman" w:hAnsi="Times New Roman"/>
          <w:sz w:val="24"/>
          <w:szCs w:val="24"/>
        </w:rPr>
        <w:t>Т — срок окупаемости инвестиционного проекта, годы;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РЧ - чистые поступления (чистая прибыль) в первый год реализации инвестиционного проекта при равномерном поступлении доходов за весь срок окупаемости, руб.;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-  полная сумма расходов на реализацию инвестиционного проекта, включающая затраты на научно-исследовательские и опытно- конструкторские разработки (НИОКР) работы, руб.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— амортизационные отчисления на полное восстановление в расчете на год реализации инвестиционного проекта при равномерном поступление доходов за весь срок окупаемости, руб.,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ТЭО — экономически оправданный срок окупаемости инвестиций, определяется руководством компании.</w:t>
      </w:r>
    </w:p>
    <w:p w:rsidR="009375AB" w:rsidRDefault="00F1530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ДЧ = (</w:t>
      </w:r>
      <w:r w:rsidR="00325646">
        <w:rPr>
          <w:rFonts w:ascii="Times New Roman" w:hAnsi="Times New Roman"/>
          <w:sz w:val="24"/>
          <w:szCs w:val="24"/>
        </w:rPr>
        <w:t>РЧ + А) — чистый доход в первый год реализации инвестиционного проекта при равномерном поступление доходов за весь срок окупаемости.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Чистая прибыль определяется по формуле:</w:t>
      </w:r>
    </w:p>
    <w:p w:rsidR="009375AB" w:rsidRDefault="00F1530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РЧ= Р х </w:t>
      </w:r>
      <w:r w:rsidR="00325646">
        <w:rPr>
          <w:rFonts w:ascii="Times New Roman" w:hAnsi="Times New Roman"/>
          <w:sz w:val="24"/>
          <w:szCs w:val="24"/>
        </w:rPr>
        <w:t>(1-Н), (24)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где Р- прибыль в первый год реализации инвестиционного проекта при равномерном поступлении доходов,</w:t>
      </w:r>
      <w:r w:rsidR="00F15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Н- норматив налога на прибыль (с учетом налоговых рисков).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№1.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срока окупаемости при равномерных денежных потоках.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ООО «Мир» собирается приобрести (условно) новое оборудование (материальный актив) или (нематериальный актив — права пользования, программный продукт, промышленный образец, товарный знак, ноу-хау.) Первоначальные затраты (капитальные вложения в основные средства или в нематериальные активы) на покупку, установку составят — 100000 руб., Доход организации ожидается в размере 30000 руб. в расчете на год.  Руководство организации считает, что затраты на приобретение оправданными, если они окупятся в течении 6-лет.  Прибыль в течении каждого из 6-лет эксплуатации оборудования (материального или нематериального актива) — 20000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амортизация — 10000 руб. Норматив налога на прибыль — 20% + налоговые риски -10% (итого 30%).Необходимо определить срок окупаемости: целесообразно ли, исходя из экономически оправданного срока действия, приобретать это оборудование (материальный актив) или (нематериальный актив — права пользования, промышленный образец, товарный знак, ноу-хау.)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Рассчитаем срок инвестиций по формуле (23);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Т= 100000руб.: [20000руб.х (1- 0,3) + 10000 руб.] = 100000 руб.: 24000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= 4,17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срок окупаемости инвестиций составляет 4,17 года, что значительно меньше экономически оправданного срока окупаемости равного 6-ти годам, поэтому приобретение оборудования (материального или нематериального актива) экономически оправдано.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№2.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срока окупаемости при неравномерных денежных потоках.</w:t>
      </w:r>
    </w:p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ООО «Мир» хочет сделать инвестиции в новые активы (материальные или нематериальные). Актив стоит 900000 руб. Затраты</w:t>
      </w:r>
      <w:r w:rsidR="00F153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связанные с приобретением данного актива</w:t>
      </w:r>
      <w:r w:rsidR="00F153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составляют — 40000 руб. Распределение дохода, прибыли и амортизации по годам приведено в табл. 6. в руб.</w:t>
      </w:r>
    </w:p>
    <w:p w:rsidR="009375AB" w:rsidRDefault="00325646" w:rsidP="00325646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1995"/>
        <w:gridCol w:w="2182"/>
        <w:gridCol w:w="4275"/>
      </w:tblGrid>
      <w:tr w:rsidR="009375AB" w:rsidTr="00325646">
        <w:trPr>
          <w:trHeight w:val="20"/>
        </w:trPr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,руб.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Прибыль,</w:t>
            </w:r>
            <w:r w:rsidR="00F15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Амортизация,</w:t>
            </w:r>
            <w:r w:rsidR="00F15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375AB" w:rsidTr="00325646">
        <w:trPr>
          <w:trHeight w:val="20"/>
        </w:trPr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9375AB" w:rsidTr="00325646">
        <w:trPr>
          <w:trHeight w:val="20"/>
        </w:trPr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9375AB" w:rsidTr="00325646">
        <w:trPr>
          <w:trHeight w:val="20"/>
        </w:trPr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9375AB" w:rsidTr="00325646">
        <w:trPr>
          <w:trHeight w:val="20"/>
        </w:trPr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9375AB" w:rsidTr="00325646">
        <w:trPr>
          <w:trHeight w:val="20"/>
        </w:trPr>
        <w:tc>
          <w:tcPr>
            <w:tcW w:w="9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</w:tbl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 оправданный срок окупаемости АКТИВА принимается равным 5 годам. Норма прибыли: ставка -20% + 10% налоговый риск. (30%) Необходимо рассчитать: срок окупаемости инвестиций (Актива) исходя из экономически оправданного срока окупаемости инвестиций. Для этой цели построим таблицу 7.</w:t>
      </w:r>
    </w:p>
    <w:p w:rsidR="009375AB" w:rsidRDefault="00325646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Расчет срока окупаемости при неравномерных денежных потоках, (руб.)</w:t>
      </w:r>
    </w:p>
    <w:p w:rsidR="009375AB" w:rsidRDefault="00325646" w:rsidP="00325646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6"/>
        <w:gridCol w:w="1336"/>
        <w:gridCol w:w="1336"/>
        <w:gridCol w:w="1336"/>
        <w:gridCol w:w="1337"/>
      </w:tblGrid>
      <w:tr w:rsidR="009375AB" w:rsidTr="00325646">
        <w:trPr>
          <w:trHeight w:val="2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9375AB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 + риски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РЧ и А(амортизации)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 на конец года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0 (покупка Актива)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-940000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(1год)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-776000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(2год)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-577000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(3год)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-343000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(4год)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-74000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(5год)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(+)195000</w:t>
            </w:r>
          </w:p>
        </w:tc>
      </w:tr>
      <w:tr w:rsidR="009375AB" w:rsidTr="00325646">
        <w:trPr>
          <w:trHeight w:val="20"/>
        </w:trPr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1135000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5AB" w:rsidRDefault="00325646" w:rsidP="00325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(+) 195000</w:t>
            </w:r>
          </w:p>
        </w:tc>
      </w:tr>
    </w:tbl>
    <w:p w:rsidR="009375AB" w:rsidRDefault="0032564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Таким образом, по данным таблицы затраты на приобретение актива (продукта) окупятся на пятом году его эксплуатации: (+) 195000 руб.</w:t>
      </w:r>
    </w:p>
    <w:p w:rsidR="009375AB" w:rsidRDefault="009375AB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375AB" w:rsidRPr="00F1530F" w:rsidRDefault="00325646" w:rsidP="00F1530F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30F">
        <w:rPr>
          <w:rFonts w:ascii="Times New Roman" w:hAnsi="Times New Roman"/>
          <w:b/>
          <w:sz w:val="24"/>
          <w:szCs w:val="24"/>
        </w:rPr>
        <w:t>Источники информационных ресурсов:</w:t>
      </w:r>
    </w:p>
    <w:p w:rsidR="009375AB" w:rsidRDefault="00F1530F" w:rsidP="00F1530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5646">
        <w:rPr>
          <w:rFonts w:ascii="Times New Roman" w:hAnsi="Times New Roman"/>
          <w:sz w:val="24"/>
          <w:szCs w:val="24"/>
        </w:rPr>
        <w:t xml:space="preserve">Липшиц И.В. Инвестиционный анализ. Подготовка и оценка инвестиций в реальные активы: учебник/ </w:t>
      </w:r>
      <w:proofErr w:type="spellStart"/>
      <w:r w:rsidR="00325646">
        <w:rPr>
          <w:rFonts w:ascii="Times New Roman" w:hAnsi="Times New Roman"/>
          <w:sz w:val="24"/>
          <w:szCs w:val="24"/>
        </w:rPr>
        <w:t>И.В.Липшиц</w:t>
      </w:r>
      <w:proofErr w:type="spellEnd"/>
      <w:r w:rsidR="00325646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="00325646">
        <w:rPr>
          <w:rFonts w:ascii="Times New Roman" w:hAnsi="Times New Roman"/>
          <w:sz w:val="24"/>
          <w:szCs w:val="24"/>
        </w:rPr>
        <w:t>Коссов</w:t>
      </w:r>
      <w:proofErr w:type="spellEnd"/>
      <w:r w:rsidR="00325646">
        <w:rPr>
          <w:rFonts w:ascii="Times New Roman" w:hAnsi="Times New Roman"/>
          <w:sz w:val="24"/>
          <w:szCs w:val="24"/>
        </w:rPr>
        <w:t>. — М.: ИНФРА-М, 2021. – 320 с.</w:t>
      </w:r>
    </w:p>
    <w:p w:rsidR="009375AB" w:rsidRDefault="00325646" w:rsidP="00F1530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2.Маркова Г.В. Экономическая оценка инвестиций: учебное п</w:t>
      </w:r>
      <w:r w:rsidR="00F1530F">
        <w:rPr>
          <w:rFonts w:ascii="Times New Roman" w:hAnsi="Times New Roman"/>
          <w:sz w:val="24"/>
          <w:szCs w:val="24"/>
        </w:rPr>
        <w:t xml:space="preserve">особие/ — </w:t>
      </w:r>
      <w:r>
        <w:rPr>
          <w:rFonts w:ascii="Times New Roman" w:hAnsi="Times New Roman"/>
          <w:sz w:val="24"/>
          <w:szCs w:val="24"/>
        </w:rPr>
        <w:t xml:space="preserve">«КУРС», </w:t>
      </w:r>
      <w:proofErr w:type="gramStart"/>
      <w:r>
        <w:rPr>
          <w:rFonts w:ascii="Times New Roman" w:hAnsi="Times New Roman"/>
          <w:sz w:val="24"/>
          <w:szCs w:val="24"/>
        </w:rPr>
        <w:t>2020.-</w:t>
      </w:r>
      <w:proofErr w:type="gramEnd"/>
      <w:r>
        <w:rPr>
          <w:rFonts w:ascii="Times New Roman" w:hAnsi="Times New Roman"/>
          <w:sz w:val="24"/>
          <w:szCs w:val="24"/>
        </w:rPr>
        <w:t xml:space="preserve"> 144с.</w:t>
      </w:r>
    </w:p>
    <w:p w:rsidR="009375AB" w:rsidRDefault="00325646" w:rsidP="00F1530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3.Макарин Н.П.  Эффективность реальных инвестиций: учебное пособие/— М.: ИНФРА-М, 2019. – 156 с.</w:t>
      </w:r>
    </w:p>
    <w:p w:rsidR="009375AB" w:rsidRDefault="00325646" w:rsidP="00F1530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4.Николаева И.П. Инвестиции: учебник/ — Дашков и К,2020. – 252 с.</w:t>
      </w:r>
    </w:p>
    <w:p w:rsidR="009375AB" w:rsidRDefault="00325646" w:rsidP="00F1530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5.Чараева М.В. Реальные инвестиции: учебное пособие/ — М.: ИНФРА-М, 2019. – 265 с.</w:t>
      </w:r>
    </w:p>
    <w:p w:rsidR="009375AB" w:rsidRDefault="00325646" w:rsidP="00F1530F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6.Щербаков В.Н. Инвестиции и инн</w:t>
      </w:r>
      <w:r w:rsidR="00F1530F">
        <w:rPr>
          <w:rFonts w:ascii="Times New Roman" w:hAnsi="Times New Roman"/>
          <w:sz w:val="24"/>
          <w:szCs w:val="24"/>
        </w:rPr>
        <w:t>овации: учебник/ В.Н. Щербаков,</w:t>
      </w:r>
      <w:r>
        <w:rPr>
          <w:rFonts w:ascii="Times New Roman" w:hAnsi="Times New Roman"/>
          <w:sz w:val="24"/>
          <w:szCs w:val="24"/>
        </w:rPr>
        <w:t xml:space="preserve"> К.В. </w:t>
      </w:r>
      <w:proofErr w:type="spellStart"/>
      <w:r>
        <w:rPr>
          <w:rFonts w:ascii="Times New Roman" w:hAnsi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/>
          <w:sz w:val="24"/>
          <w:szCs w:val="24"/>
        </w:rPr>
        <w:t>, А.В. Дубровский.   — Дашков и К,2020. – 252 с.</w:t>
      </w:r>
    </w:p>
    <w:p w:rsidR="009375AB" w:rsidRPr="00F1530F" w:rsidRDefault="00325646" w:rsidP="00F1530F">
      <w:pPr>
        <w:pStyle w:val="Standard"/>
        <w:tabs>
          <w:tab w:val="left" w:pos="720"/>
        </w:tabs>
        <w:suppressAutoHyphens w:val="0"/>
        <w:spacing w:before="240" w:after="0" w:line="240" w:lineRule="auto"/>
        <w:rPr>
          <w:b/>
        </w:rPr>
      </w:pPr>
      <w:r w:rsidRPr="00F1530F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9375AB" w:rsidRDefault="00325646" w:rsidP="00F1530F">
      <w:pPr>
        <w:pStyle w:val="Standard"/>
        <w:shd w:val="clear" w:color="auto" w:fill="FFFFFF"/>
        <w:tabs>
          <w:tab w:val="left" w:pos="720"/>
          <w:tab w:val="left" w:pos="900"/>
          <w:tab w:val="left" w:pos="938"/>
          <w:tab w:val="left" w:pos="9720"/>
        </w:tabs>
        <w:spacing w:after="0" w:line="240" w:lineRule="auto"/>
        <w:jc w:val="both"/>
      </w:pPr>
      <w:r>
        <w:rPr>
          <w:rFonts w:ascii="Times New Roman" w:hAnsi="Times New Roman"/>
          <w:spacing w:val="-5"/>
          <w:sz w:val="24"/>
          <w:szCs w:val="24"/>
        </w:rPr>
        <w:t xml:space="preserve">1.КонсультантПлюс: информационно-правовой портал. — Москва. — 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URL</w:t>
      </w:r>
      <w:r>
        <w:rPr>
          <w:rFonts w:ascii="Times New Roman" w:hAnsi="Times New Roman"/>
          <w:spacing w:val="-5"/>
          <w:sz w:val="24"/>
          <w:szCs w:val="24"/>
        </w:rPr>
        <w:t>: http://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www</w:t>
      </w:r>
      <w:r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  <w:lang w:val="en-US"/>
        </w:rPr>
        <w:t>consultant</w:t>
      </w:r>
      <w:r>
        <w:rPr>
          <w:rFonts w:ascii="Times New Roman" w:hAnsi="Times New Roman"/>
          <w:spacing w:val="-5"/>
          <w:sz w:val="24"/>
          <w:szCs w:val="24"/>
        </w:rPr>
        <w:t>.</w:t>
      </w:r>
      <w:proofErr w:type="spellStart"/>
      <w:r>
        <w:rPr>
          <w:rFonts w:ascii="Times New Roman" w:hAnsi="Times New Roman"/>
          <w:spacing w:val="-5"/>
          <w:sz w:val="24"/>
          <w:szCs w:val="24"/>
          <w:lang w:val="en-US"/>
        </w:rPr>
        <w:t>ru</w:t>
      </w:r>
      <w:proofErr w:type="spellEnd"/>
      <w:r w:rsidR="00F1530F">
        <w:rPr>
          <w:rFonts w:ascii="Times New Roman" w:hAnsi="Times New Roman"/>
          <w:spacing w:val="-5"/>
          <w:sz w:val="24"/>
          <w:szCs w:val="24"/>
        </w:rPr>
        <w:t xml:space="preserve">/ </w:t>
      </w:r>
      <w:r>
        <w:rPr>
          <w:rFonts w:ascii="Times New Roman" w:hAnsi="Times New Roman"/>
          <w:spacing w:val="-5"/>
          <w:sz w:val="24"/>
          <w:szCs w:val="24"/>
        </w:rPr>
        <w:t>— Текст: электронный.</w:t>
      </w:r>
    </w:p>
    <w:p w:rsidR="009375AB" w:rsidRDefault="00325646" w:rsidP="00F1530F">
      <w:pPr>
        <w:pStyle w:val="Standard"/>
        <w:spacing w:after="0" w:line="240" w:lineRule="auto"/>
      </w:pPr>
      <w:r>
        <w:rPr>
          <w:rStyle w:val="FontStyle30"/>
          <w:rFonts w:cs="Times New Roman"/>
          <w:color w:val="333333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Федеральная налоговая служба: официальный сайт. — Москва. —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="00F1530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1530F">
        <w:rPr>
          <w:rFonts w:ascii="Times New Roman" w:hAnsi="Times New Roman"/>
          <w:sz w:val="24"/>
          <w:szCs w:val="24"/>
        </w:rPr>
        <w:t>www</w:t>
      </w:r>
      <w:proofErr w:type="spellEnd"/>
      <w:r w:rsidR="00F1530F">
        <w:rPr>
          <w:rFonts w:ascii="Times New Roman" w:hAnsi="Times New Roman"/>
          <w:sz w:val="24"/>
          <w:szCs w:val="24"/>
        </w:rPr>
        <w:t xml:space="preserve">. nalog.ru </w:t>
      </w:r>
      <w:r>
        <w:rPr>
          <w:rFonts w:ascii="Times New Roman" w:hAnsi="Times New Roman"/>
          <w:sz w:val="24"/>
          <w:szCs w:val="24"/>
        </w:rPr>
        <w:t>— Текст: электронный.</w:t>
      </w:r>
    </w:p>
    <w:p w:rsidR="009375AB" w:rsidRDefault="00325646" w:rsidP="00F1530F">
      <w:pPr>
        <w:pStyle w:val="Standard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3.Гарант: информационно-правовой портал. — Москва. —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 http://www.garant.ru/dp</w:t>
      </w:r>
      <w:r w:rsidR="00F1530F">
        <w:rPr>
          <w:rFonts w:ascii="Times New Roman" w:hAnsi="Times New Roman"/>
          <w:sz w:val="24"/>
          <w:szCs w:val="24"/>
        </w:rPr>
        <w:t xml:space="preserve">e/ </w:t>
      </w:r>
      <w:r>
        <w:rPr>
          <w:rFonts w:ascii="Times New Roman" w:hAnsi="Times New Roman"/>
          <w:sz w:val="24"/>
          <w:szCs w:val="24"/>
        </w:rPr>
        <w:t>— Текст: электронный.</w:t>
      </w:r>
    </w:p>
    <w:p w:rsidR="009375AB" w:rsidRDefault="00325646" w:rsidP="00F1530F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4.Предпринимательское право: портал правовой поддержки предпринимательской деятельности. — Москва. —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="00F1530F">
        <w:rPr>
          <w:rFonts w:ascii="Times New Roman" w:hAnsi="Times New Roman"/>
          <w:sz w:val="24"/>
          <w:szCs w:val="24"/>
        </w:rPr>
        <w:t>: http://businesspravo.ru/</w:t>
      </w:r>
      <w:r>
        <w:rPr>
          <w:rFonts w:ascii="Times New Roman" w:hAnsi="Times New Roman"/>
          <w:sz w:val="24"/>
          <w:szCs w:val="24"/>
        </w:rPr>
        <w:t>– Текст: электронный.</w:t>
      </w:r>
    </w:p>
    <w:sectPr w:rsidR="009375AB">
      <w:headerReference w:type="default" r:id="rId7"/>
      <w:pgSz w:w="11906" w:h="16838"/>
      <w:pgMar w:top="708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94" w:rsidRDefault="00510B94">
      <w:pPr>
        <w:spacing w:after="0" w:line="240" w:lineRule="auto"/>
      </w:pPr>
      <w:r>
        <w:separator/>
      </w:r>
    </w:p>
  </w:endnote>
  <w:endnote w:type="continuationSeparator" w:id="0">
    <w:p w:rsidR="00510B94" w:rsidRDefault="0051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94" w:rsidRDefault="00510B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0B94" w:rsidRDefault="0051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46" w:rsidRDefault="0032564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BC666B">
      <w:rPr>
        <w:noProof/>
      </w:rPr>
      <w:t>12</w:t>
    </w:r>
    <w:r>
      <w:fldChar w:fldCharType="end"/>
    </w:r>
  </w:p>
  <w:p w:rsidR="00325646" w:rsidRDefault="003256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1C37"/>
    <w:multiLevelType w:val="multilevel"/>
    <w:tmpl w:val="30349D6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D94909"/>
    <w:multiLevelType w:val="multilevel"/>
    <w:tmpl w:val="53EE3F3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smallCaps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5343974"/>
    <w:multiLevelType w:val="multilevel"/>
    <w:tmpl w:val="9016422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E4272ED"/>
    <w:multiLevelType w:val="multilevel"/>
    <w:tmpl w:val="8E0AA2C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B"/>
    <w:rsid w:val="0028763E"/>
    <w:rsid w:val="00325646"/>
    <w:rsid w:val="00510B94"/>
    <w:rsid w:val="009375AB"/>
    <w:rsid w:val="00BC666B"/>
    <w:rsid w:val="00F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6A86"/>
  <w15:docId w15:val="{9D8184C9-1BF7-4788-BEE7-9941940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 Spacing"/>
    <w:pPr>
      <w:widowControl/>
      <w:suppressAutoHyphens/>
      <w:spacing w:after="0" w:line="240" w:lineRule="auto"/>
    </w:pPr>
    <w:rPr>
      <w:lang w:eastAsia="ru-RU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b">
    <w:name w:val="’åêñò â çàäàííîì ôîðìàòå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Style7">
    <w:name w:val="Style7"/>
    <w:basedOn w:val="Standard"/>
    <w:pPr>
      <w:widowControl w:val="0"/>
      <w:spacing w:line="322" w:lineRule="exact"/>
      <w:jc w:val="both"/>
    </w:pPr>
  </w:style>
  <w:style w:type="character" w:styleId="ac">
    <w:name w:val="Placeholder Text"/>
    <w:basedOn w:val="a0"/>
    <w:rPr>
      <w:color w:val="808080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af0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1">
    <w:name w:val="Без интервала Знак"/>
    <w:basedOn w:val="a0"/>
    <w:rPr>
      <w:lang w:eastAsia="ru-RU"/>
    </w:rPr>
  </w:style>
  <w:style w:type="character" w:customStyle="1" w:styleId="af2">
    <w:name w:val="Верхний колонтитул Знак"/>
    <w:basedOn w:val="a0"/>
  </w:style>
  <w:style w:type="character" w:customStyle="1" w:styleId="af3">
    <w:name w:val="Нижний колонтитул Знак"/>
    <w:basedOn w:val="a0"/>
  </w:style>
  <w:style w:type="character" w:customStyle="1" w:styleId="WW8Num12z0">
    <w:name w:val="WW8Num12z0"/>
  </w:style>
  <w:style w:type="character" w:customStyle="1" w:styleId="WW8Num7z0">
    <w:name w:val="WW8Num7z0"/>
    <w:rPr>
      <w:rFonts w:ascii="Symbol" w:hAnsi="Symbol" w:cs="Symbol"/>
      <w:sz w:val="22"/>
      <w:szCs w:val="22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cs="Times New Roman"/>
      <w:b/>
      <w:i w:val="0"/>
      <w:iCs w:val="0"/>
      <w:smallCaps/>
      <w:sz w:val="28"/>
      <w:szCs w:val="32"/>
    </w:rPr>
  </w:style>
  <w:style w:type="character" w:customStyle="1" w:styleId="FontStyle30">
    <w:name w:val="Font Style30"/>
    <w:rPr>
      <w:rFonts w:ascii="Times New Roman" w:hAnsi="Times New Roman"/>
      <w:sz w:val="26"/>
    </w:rPr>
  </w:style>
  <w:style w:type="character" w:customStyle="1" w:styleId="ListLabel8">
    <w:name w:val="ListLabel 8"/>
    <w:rPr>
      <w:rFonts w:eastAsia="Times New Roman" w:cs="Times New Roman"/>
    </w:rPr>
  </w:style>
  <w:style w:type="numbering" w:customStyle="1" w:styleId="WW8Num12">
    <w:name w:val="WW8Num12"/>
    <w:basedOn w:val="a2"/>
    <w:pPr>
      <w:numPr>
        <w:numId w:val="1"/>
      </w:numPr>
    </w:pPr>
  </w:style>
  <w:style w:type="numbering" w:customStyle="1" w:styleId="WW8Num7">
    <w:name w:val="WW8Num7"/>
    <w:basedOn w:val="a2"/>
    <w:pPr>
      <w:numPr>
        <w:numId w:val="2"/>
      </w:numPr>
    </w:pPr>
  </w:style>
  <w:style w:type="numbering" w:customStyle="1" w:styleId="WW8Num9">
    <w:name w:val="WW8Num9"/>
    <w:basedOn w:val="a2"/>
    <w:pPr>
      <w:numPr>
        <w:numId w:val="3"/>
      </w:numPr>
    </w:pPr>
  </w:style>
  <w:style w:type="numbering" w:customStyle="1" w:styleId="WWNum46">
    <w:name w:val="WWNum46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Ольга Михайловна Алексеева</cp:lastModifiedBy>
  <cp:revision>3</cp:revision>
  <dcterms:created xsi:type="dcterms:W3CDTF">2020-12-14T14:46:00Z</dcterms:created>
  <dcterms:modified xsi:type="dcterms:W3CDTF">2021-02-01T13:35:00Z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